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before="12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Контрольно-счетной палаты города Мегиона на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 проведено экспертно-аналитическое мероприятие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нализ документов стратегического планирования с целью оценки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ния, в пределах компетенции контрольно-счетного органа муниципального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».</w:t>
      </w:r>
      <w:r/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120" w:after="0" w:line="240" w:lineRule="auto"/>
        <w:tabs>
          <w:tab w:val="left" w:pos="851" w:leader="none"/>
        </w:tabs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:lang w:eastAsia="en-U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ходе экспертно-аналитического мероприятия выявлены нарушения и недостатки в документах стратегического планирования города Мегиона, </w:t>
      </w:r>
      <w:r>
        <w:rPr>
          <w:rFonts w:ascii="Times New Roman" w:hAnsi="Times New Roman" w:cs="Times New Roman"/>
          <w:sz w:val="24"/>
          <w:szCs w:val="24"/>
        </w:rPr>
        <w:t xml:space="preserve">случаи отсутствия </w:t>
      </w:r>
      <w:r>
        <w:rPr>
          <w:rFonts w:ascii="Times New Roman" w:hAnsi="Times New Roman" w:cs="Times New Roman"/>
          <w:sz w:val="24"/>
          <w:szCs w:val="24"/>
        </w:rPr>
        <w:t xml:space="preserve">взаимоувязки целей и задач, предусмотренных в документах стратегического планирования, их показателей, ресурсного обеспечения и сроков реализации,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lang w:eastAsia="en-US"/>
          <w14:ligatures w14:val="none"/>
        </w:rPr>
        <w:t xml:space="preserve">нарушение требований статей 13, 40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28.06.2014 № 172-ФЗ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стратегическом планировании в Российской Федерации»</w:t>
      </w:r>
      <w:r>
        <w:t xml:space="preserve">.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:lang w:eastAsia="en-US"/>
          <w14:ligatures w14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:lang w:eastAsia="en-US"/>
          <w14:ligatures w14:val="none"/>
        </w:rPr>
      </w:r>
    </w:p>
    <w:p>
      <w:pPr>
        <w:ind w:left="0" w:right="0" w:firstLine="709"/>
        <w:jc w:val="bot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экспертно-аналитического мероприятия подготовлено заключение, которое направлено в адрес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Мегиона.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2025-10-14T04:37:35Z</dcterms:modified>
</cp:coreProperties>
</file>