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BB" w:rsidRPr="00095248" w:rsidRDefault="002333BB" w:rsidP="002333BB">
      <w:pPr>
        <w:spacing w:before="120"/>
        <w:jc w:val="center"/>
        <w:rPr>
          <w:b/>
        </w:rPr>
      </w:pPr>
      <w:r w:rsidRPr="00095248">
        <w:rPr>
          <w:b/>
          <w:bCs/>
        </w:rPr>
        <w:t>Информация о результатах контрольного мероприятия</w:t>
      </w:r>
    </w:p>
    <w:p w:rsidR="002333BB" w:rsidRDefault="002333BB" w:rsidP="002333BB">
      <w:pPr>
        <w:jc w:val="both"/>
        <w:rPr>
          <w:sz w:val="20"/>
          <w:szCs w:val="20"/>
        </w:rPr>
      </w:pPr>
      <w:r w:rsidRPr="00477862">
        <w:rPr>
          <w:sz w:val="20"/>
          <w:szCs w:val="20"/>
        </w:rPr>
        <w:t xml:space="preserve">           </w:t>
      </w:r>
    </w:p>
    <w:p w:rsidR="002333BB" w:rsidRPr="002333BB" w:rsidRDefault="002333BB" w:rsidP="006752D3">
      <w:pPr>
        <w:spacing w:before="120"/>
        <w:ind w:firstLine="567"/>
        <w:jc w:val="both"/>
      </w:pPr>
      <w:r w:rsidRPr="00477862">
        <w:rPr>
          <w:sz w:val="20"/>
          <w:szCs w:val="20"/>
        </w:rPr>
        <w:t xml:space="preserve"> </w:t>
      </w:r>
      <w:r w:rsidRPr="002333BB">
        <w:t>В соответствии с Планом работы Контрольно-счетной палаты города Мегиона на 2024 год проведено контрольное мероприятие «Проверка законности и эффективности использования бюджетных средств, направленных на обеспечение деятельности муниципального казенного учреждения «Управление гражданской защиты населения», а также соблюдение порядка управления и распоряжения муниципальным имуществом, с элементами аудита в сфере закупок» за 2023 год.</w:t>
      </w:r>
    </w:p>
    <w:p w:rsidR="006752D3" w:rsidRDefault="002333BB" w:rsidP="006752D3">
      <w:pPr>
        <w:spacing w:before="120"/>
        <w:ind w:firstLine="567"/>
        <w:jc w:val="both"/>
      </w:pPr>
      <w:r w:rsidRPr="002333BB">
        <w:t>Цель</w:t>
      </w:r>
      <w:r w:rsidR="00BC0BC9">
        <w:t xml:space="preserve"> контрольного мероприятия: о</w:t>
      </w:r>
      <w:r w:rsidRPr="002333BB">
        <w:t>пределение законности, эффективности, результативности и целевого использования бюджетных средств и муниципального имущества, предназначенных для функционирования муниципального казенного учреждения «Управление гражданской защиты населения»</w:t>
      </w:r>
      <w:r w:rsidR="00312E05">
        <w:t>.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Муниципальное казенное учреждение «Управление гражданской защиты населения» (далее – Учреждение, МКУ «УГЗН») создано в целях решения вопросов местного значения в соответствии со статьей 16 Федерального закона от 06.10.2003 № 131-ФЗ «Об общих принципах организации местного самоуправления в Российской Федерации»: участие в предупреждении и ликвидации последствий чрезвычайных ситуаций в границах городского округа (пункт 8 части 1); обеспечение первичных мер пожарной безопасности в границах муниципального, городского округа (пункт 10 части 1);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 (пункт 28 части 1); 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 (пункт 29 части 1).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По результатам контрольного мероприятия установлено следующее: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 установлено несоответствие Устава Учреждения и Порядка создания, хранения, использования и восполнения резерва материальных ресурсов города Мегиона для ликвидации чрезвычайных ситуаций муниципального характера и в целях гражданской обороны</w:t>
      </w:r>
      <w:r w:rsidR="00D57263">
        <w:t>,</w:t>
      </w:r>
      <w:r w:rsidRPr="002333BB">
        <w:t xml:space="preserve"> утвержден</w:t>
      </w:r>
      <w:r w:rsidR="00D57263">
        <w:t>ного</w:t>
      </w:r>
      <w:r w:rsidRPr="002333BB">
        <w:t xml:space="preserve"> постановлением администрации города от 18.12.2020 № 2587;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 при проверке заработной платы директора Учреждения установлено, что заработная плата директору Учреждения с 01.10.2023 исходя из размера должностного оклада в сумме 32 645,00</w:t>
      </w:r>
      <w:r w:rsidR="00312E05">
        <w:t xml:space="preserve"> руб.</w:t>
      </w:r>
      <w:r w:rsidR="007D332B">
        <w:t xml:space="preserve"> начислялась неправомерно</w:t>
      </w:r>
      <w:r w:rsidRPr="002333BB">
        <w:t xml:space="preserve"> в связи с отсутствием распоряжения администрации города об установлении должностного оклада в данном размере;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 при проверке выплат стимулирующего характера установлено, что</w:t>
      </w:r>
      <w:r w:rsidR="00312E05">
        <w:t xml:space="preserve"> при</w:t>
      </w:r>
      <w:r w:rsidRPr="002333BB">
        <w:t xml:space="preserve"> установлении надбавки за сложность работникам Учреждения не производилась оценка трудовой деятельности;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 установлены нарушения при проведении инвентаризации в соответствии с Методическими указаниями по инвентаризации имущества и финансовых обязательств, утвержденных Приказом Министерства финансов Российской Федерации от 13.06.1995 № 49;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 установлены нарушения бюджетного учета в части учета основных средств, материальных запасов, списания ГСМ;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-</w:t>
      </w:r>
      <w:r w:rsidR="00254FBC">
        <w:t xml:space="preserve"> </w:t>
      </w:r>
      <w:r w:rsidR="00254FBC" w:rsidRPr="002333BB">
        <w:t>установлены</w:t>
      </w:r>
      <w:r w:rsidRPr="002333BB">
        <w:t xml:space="preserve"> нарушения ведения первичных учетных документов;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lastRenderedPageBreak/>
        <w:t xml:space="preserve">-  при проведении выборочной проверки определения </w:t>
      </w:r>
      <w:r w:rsidR="007D332B">
        <w:t>начальной максимальной цены контракта (далее - НМЦК) м</w:t>
      </w:r>
      <w:r w:rsidRPr="002333BB">
        <w:t>етодом сопоставления рыночных цен, установлено, что при формировании НМЦК 6 контрактов использованы коммерческие предложения поставщиков с неподтвержденным опытом поставок соответствующих товаров, работ, услуг; при формировании НМЦК 5 контрактов коммерческие предложения имеют признаки аффилированности.</w:t>
      </w:r>
    </w:p>
    <w:p w:rsidR="002333BB" w:rsidRPr="002333BB" w:rsidRDefault="002333BB" w:rsidP="006752D3">
      <w:pPr>
        <w:spacing w:before="120"/>
        <w:ind w:firstLine="567"/>
        <w:jc w:val="both"/>
      </w:pPr>
      <w:r w:rsidRPr="002333BB">
        <w:t>По результатам контрольного мероприятия проверяемым объектам направлены представления для принятия мер по устранению выявленных нарушений и недостатков.</w:t>
      </w:r>
    </w:p>
    <w:p w:rsidR="002333BB" w:rsidRPr="002333BB" w:rsidRDefault="002333BB" w:rsidP="006752D3">
      <w:pPr>
        <w:spacing w:before="120"/>
        <w:ind w:firstLine="567"/>
        <w:jc w:val="both"/>
      </w:pPr>
    </w:p>
    <w:p w:rsidR="00F46937" w:rsidRPr="002333BB" w:rsidRDefault="00F46937" w:rsidP="006752D3">
      <w:pPr>
        <w:ind w:firstLine="567"/>
      </w:pPr>
      <w:bookmarkStart w:id="0" w:name="_GoBack"/>
      <w:bookmarkEnd w:id="0"/>
    </w:p>
    <w:sectPr w:rsidR="00F46937" w:rsidRPr="0023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BB"/>
    <w:rsid w:val="002333BB"/>
    <w:rsid w:val="00254FBC"/>
    <w:rsid w:val="00312E05"/>
    <w:rsid w:val="00386D6B"/>
    <w:rsid w:val="006752D3"/>
    <w:rsid w:val="007D332B"/>
    <w:rsid w:val="00BC0BC9"/>
    <w:rsid w:val="00D57263"/>
    <w:rsid w:val="00F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492"/>
  <w15:chartTrackingRefBased/>
  <w15:docId w15:val="{EAF4E2DE-8760-4583-AEE0-49A8F96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4092A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BB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Алена Римовна</dc:creator>
  <cp:keywords/>
  <dc:description/>
  <cp:lastModifiedBy>Новикова Алена Римовна</cp:lastModifiedBy>
  <cp:revision>9</cp:revision>
  <dcterms:created xsi:type="dcterms:W3CDTF">2024-06-03T07:03:00Z</dcterms:created>
  <dcterms:modified xsi:type="dcterms:W3CDTF">2024-06-03T07:13:00Z</dcterms:modified>
</cp:coreProperties>
</file>